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E1E" w:rsidRDefault="001800D4">
      <w:pPr>
        <w:pStyle w:val="a3"/>
        <w:shd w:val="clear" w:color="auto" w:fill="FFFFFF"/>
        <w:spacing w:line="274" w:lineRule="exact"/>
        <w:ind w:left="0" w:right="317"/>
        <w:jc w:val="right"/>
        <w:rPr>
          <w:rFonts w:eastAsia="Times New Roman"/>
          <w:spacing w:val="-2"/>
          <w:sz w:val="28"/>
          <w:szCs w:val="28"/>
          <w:lang w:val="ru-RU"/>
        </w:rPr>
      </w:pPr>
      <w:r>
        <w:rPr>
          <w:rFonts w:eastAsia="Times New Roman"/>
          <w:spacing w:val="-2"/>
          <w:sz w:val="28"/>
          <w:szCs w:val="28"/>
          <w:lang w:val="ru-RU"/>
        </w:rPr>
        <w:t>Приложение 1</w:t>
      </w:r>
    </w:p>
    <w:p w:rsidR="002E1E1E" w:rsidRDefault="002E1E1E">
      <w:pPr>
        <w:pStyle w:val="a3"/>
        <w:shd w:val="clear" w:color="auto" w:fill="FFFFFF"/>
        <w:spacing w:line="274" w:lineRule="exact"/>
        <w:ind w:left="0" w:right="317"/>
        <w:jc w:val="center"/>
        <w:rPr>
          <w:rFonts w:eastAsia="Times New Roman"/>
          <w:b/>
          <w:spacing w:val="-2"/>
          <w:sz w:val="28"/>
          <w:szCs w:val="28"/>
          <w:lang w:val="ru-RU"/>
        </w:rPr>
      </w:pPr>
    </w:p>
    <w:p w:rsidR="002E1E1E" w:rsidRDefault="001800D4">
      <w:pPr>
        <w:pStyle w:val="a3"/>
        <w:shd w:val="clear" w:color="auto" w:fill="FFFFFF"/>
        <w:spacing w:line="274" w:lineRule="exact"/>
        <w:ind w:left="0" w:right="317"/>
        <w:jc w:val="center"/>
        <w:rPr>
          <w:rFonts w:eastAsia="Times New Roman"/>
          <w:b/>
          <w:spacing w:val="-2"/>
          <w:sz w:val="28"/>
          <w:szCs w:val="28"/>
          <w:lang w:val="ru-RU"/>
        </w:rPr>
      </w:pPr>
      <w:r>
        <w:rPr>
          <w:rFonts w:eastAsia="Times New Roman"/>
          <w:b/>
          <w:spacing w:val="-2"/>
          <w:sz w:val="28"/>
          <w:szCs w:val="28"/>
          <w:lang w:val="ru-RU"/>
        </w:rPr>
        <w:t>ПОСТОЯННО ДЕЙСТВУЮЩИЙ МЕЖВУЗОВСКИЙ ВЕБИНАР</w:t>
      </w:r>
    </w:p>
    <w:p w:rsidR="002E1E1E" w:rsidRDefault="001800D4">
      <w:pPr>
        <w:jc w:val="center"/>
        <w:rPr>
          <w:rFonts w:eastAsia="Times New Roman"/>
          <w:b/>
          <w:spacing w:val="-2"/>
          <w:sz w:val="28"/>
          <w:szCs w:val="28"/>
          <w:lang w:val="ru-RU"/>
        </w:rPr>
      </w:pPr>
      <w:r>
        <w:rPr>
          <w:rFonts w:eastAsia="Times New Roman"/>
          <w:b/>
          <w:spacing w:val="-2"/>
          <w:sz w:val="28"/>
          <w:szCs w:val="28"/>
          <w:lang w:val="ru-RU"/>
        </w:rPr>
        <w:t>«ЭЛЕКТРОННОЕ ОБУЧЕНИЕ В СИСТЕМЕ ПЕДАГОГИЧЕСКОГО ОБРАЗОВАНИЯ: АКТУАЛЬНЫЕ КЕЙСЫ»</w:t>
      </w:r>
    </w:p>
    <w:p w:rsidR="002E1E1E" w:rsidRDefault="001800D4">
      <w:pPr>
        <w:jc w:val="center"/>
        <w:rPr>
          <w:rFonts w:eastAsia="Times New Roman"/>
          <w:b/>
          <w:spacing w:val="-2"/>
          <w:sz w:val="28"/>
          <w:szCs w:val="28"/>
          <w:lang w:val="ru-RU"/>
        </w:rPr>
      </w:pPr>
      <w:r>
        <w:rPr>
          <w:rFonts w:eastAsia="Times New Roman"/>
          <w:b/>
          <w:spacing w:val="-2"/>
          <w:sz w:val="28"/>
          <w:szCs w:val="28"/>
          <w:lang w:val="ru-RU"/>
        </w:rPr>
        <w:t>21.10.2020</w:t>
      </w:r>
      <w:bookmarkStart w:id="0" w:name="_GoBack"/>
      <w:bookmarkEnd w:id="0"/>
    </w:p>
    <w:p w:rsidR="002E1E1E" w:rsidRDefault="002E1E1E">
      <w:pPr>
        <w:jc w:val="center"/>
        <w:rPr>
          <w:rFonts w:eastAsia="Times New Roman"/>
          <w:b/>
          <w:spacing w:val="-2"/>
          <w:sz w:val="28"/>
          <w:szCs w:val="28"/>
          <w:lang w:val="ru-RU"/>
        </w:rPr>
      </w:pPr>
    </w:p>
    <w:p w:rsidR="002E1E1E" w:rsidRDefault="001800D4">
      <w:pPr>
        <w:jc w:val="center"/>
        <w:rPr>
          <w:b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(</w:t>
      </w:r>
      <w:r>
        <w:rPr>
          <w:b/>
          <w:color w:val="000000" w:themeColor="text1"/>
          <w:sz w:val="28"/>
          <w:szCs w:val="28"/>
          <w:lang w:val="ru-RU"/>
        </w:rPr>
        <w:t xml:space="preserve">ул. Советская, 18, Ресурсный центр педагогики </w:t>
      </w:r>
    </w:p>
    <w:p w:rsidR="002E1E1E" w:rsidRDefault="001800D4">
      <w:pPr>
        <w:jc w:val="center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>электронного обучения, учебный корпус № 2, кабинет 202)</w:t>
      </w:r>
    </w:p>
    <w:tbl>
      <w:tblPr>
        <w:tblStyle w:val="PlainTable4"/>
        <w:tblpPr w:leftFromText="180" w:rightFromText="180" w:vertAnchor="text" w:horzAnchor="margin" w:tblpY="744"/>
        <w:tblW w:w="5000" w:type="pct"/>
        <w:tblLook w:val="01E0"/>
      </w:tblPr>
      <w:tblGrid>
        <w:gridCol w:w="2019"/>
        <w:gridCol w:w="7886"/>
      </w:tblGrid>
      <w:tr w:rsidR="002E1E1E" w:rsidRPr="001800D4" w:rsidTr="002E1E1E">
        <w:trPr>
          <w:cnfStyle w:val="100000000000"/>
        </w:trPr>
        <w:tc>
          <w:tcPr>
            <w:cnfStyle w:val="001000000000"/>
            <w:tcW w:w="1019" w:type="pct"/>
          </w:tcPr>
          <w:p w:rsidR="002E1E1E" w:rsidRDefault="001800D4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t>13.</w:t>
            </w:r>
            <w:r>
              <w:rPr>
                <w:b w:val="0"/>
                <w:bCs w:val="0"/>
                <w:iCs/>
                <w:sz w:val="28"/>
                <w:szCs w:val="28"/>
              </w:rPr>
              <w:t>3</w:t>
            </w:r>
            <w:r>
              <w:rPr>
                <w:b w:val="0"/>
                <w:iCs/>
                <w:sz w:val="28"/>
                <w:szCs w:val="28"/>
              </w:rPr>
              <w:t>0 – 14.00</w:t>
            </w:r>
          </w:p>
        </w:tc>
        <w:tc>
          <w:tcPr>
            <w:cnfStyle w:val="000100000000"/>
            <w:tcW w:w="3981" w:type="pct"/>
          </w:tcPr>
          <w:p w:rsidR="002E1E1E" w:rsidRDefault="001800D4">
            <w:pPr>
              <w:pStyle w:val="a3"/>
              <w:ind w:hanging="72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Регистрация участников в системе, тестирование связи </w:t>
            </w:r>
          </w:p>
          <w:p w:rsidR="002E1E1E" w:rsidRDefault="001800D4">
            <w:pPr>
              <w:pStyle w:val="a3"/>
              <w:ind w:left="0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Ссылка для подключения: </w:t>
            </w:r>
            <w:r>
              <w:rPr>
                <w:sz w:val="28"/>
                <w:szCs w:val="28"/>
              </w:rPr>
              <w:t xml:space="preserve"> </w:t>
            </w:r>
            <w:hyperlink r:id="rId5" w:history="1">
              <w:r>
                <w:rPr>
                  <w:rStyle w:val="a6"/>
                  <w:b w:val="0"/>
                  <w:bCs w:val="0"/>
                  <w:sz w:val="28"/>
                  <w:szCs w:val="28"/>
                </w:rPr>
                <w:t>https://bbb.bspu.by/b/g47-jan-yzq</w:t>
              </w:r>
            </w:hyperlink>
          </w:p>
          <w:p w:rsidR="002E1E1E" w:rsidRDefault="001800D4">
            <w:pPr>
              <w:tabs>
                <w:tab w:val="left" w:pos="4174"/>
              </w:tabs>
              <w:jc w:val="both"/>
              <w:rPr>
                <w:b w:val="0"/>
                <w:i/>
                <w:iCs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Модератор: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iCs/>
                <w:sz w:val="28"/>
                <w:szCs w:val="28"/>
              </w:rPr>
              <w:t>Свидинская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Надежда Константиновна</w:t>
            </w:r>
            <w:r>
              <w:rPr>
                <w:b w:val="0"/>
                <w:i/>
                <w:iCs/>
                <w:sz w:val="28"/>
                <w:szCs w:val="28"/>
              </w:rPr>
              <w:t xml:space="preserve"> ведущий специалист отдела организации электронного обучения ЦРИТ.</w:t>
            </w:r>
          </w:p>
          <w:p w:rsidR="002E1E1E" w:rsidRDefault="002E1E1E">
            <w:pPr>
              <w:pStyle w:val="a3"/>
              <w:ind w:left="0"/>
              <w:jc w:val="both"/>
              <w:rPr>
                <w:b w:val="0"/>
                <w:sz w:val="28"/>
                <w:szCs w:val="28"/>
                <w:lang w:val="be-BY"/>
              </w:rPr>
            </w:pPr>
          </w:p>
        </w:tc>
      </w:tr>
      <w:tr w:rsidR="002E1E1E" w:rsidTr="002E1E1E">
        <w:trPr>
          <w:cnfStyle w:val="000000100000"/>
          <w:trHeight w:val="1286"/>
        </w:trPr>
        <w:tc>
          <w:tcPr>
            <w:cnfStyle w:val="001000000000"/>
            <w:tcW w:w="1019" w:type="pct"/>
          </w:tcPr>
          <w:p w:rsidR="002E1E1E" w:rsidRDefault="001800D4">
            <w:pPr>
              <w:pStyle w:val="a3"/>
              <w:ind w:left="0"/>
              <w:jc w:val="center"/>
              <w:rPr>
                <w:b w:val="0"/>
                <w:bCs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t>14.00 – 14.</w:t>
            </w:r>
            <w:r>
              <w:rPr>
                <w:b w:val="0"/>
                <w:bCs w:val="0"/>
                <w:iCs/>
                <w:sz w:val="28"/>
                <w:szCs w:val="28"/>
              </w:rPr>
              <w:t>15</w:t>
            </w:r>
          </w:p>
          <w:p w:rsidR="002E1E1E" w:rsidRDefault="002E1E1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100000000"/>
            <w:tcW w:w="3981" w:type="pct"/>
          </w:tcPr>
          <w:p w:rsidR="002E1E1E" w:rsidRDefault="001800D4">
            <w:pPr>
              <w:jc w:val="both"/>
              <w:rPr>
                <w:bCs w:val="0"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Открытие </w:t>
            </w:r>
            <w:proofErr w:type="spellStart"/>
            <w:r>
              <w:rPr>
                <w:iCs/>
                <w:sz w:val="28"/>
                <w:szCs w:val="28"/>
              </w:rPr>
              <w:t>вебинара</w:t>
            </w:r>
            <w:proofErr w:type="spellEnd"/>
          </w:p>
          <w:p w:rsidR="002E1E1E" w:rsidRDefault="002E1E1E">
            <w:pPr>
              <w:tabs>
                <w:tab w:val="left" w:pos="4174"/>
              </w:tabs>
              <w:ind w:firstLine="459"/>
              <w:jc w:val="both"/>
              <w:rPr>
                <w:b w:val="0"/>
                <w:iCs/>
                <w:sz w:val="28"/>
                <w:szCs w:val="28"/>
              </w:rPr>
            </w:pPr>
          </w:p>
          <w:p w:rsidR="002E1E1E" w:rsidRDefault="001800D4">
            <w:pPr>
              <w:jc w:val="both"/>
              <w:rPr>
                <w:rStyle w:val="a5"/>
                <w:rFonts w:eastAsiaTheme="majorEastAsia"/>
                <w:bCs w:val="0"/>
                <w:i w:val="0"/>
                <w:sz w:val="28"/>
                <w:szCs w:val="28"/>
              </w:rPr>
            </w:pPr>
            <w:r>
              <w:rPr>
                <w:rStyle w:val="a5"/>
                <w:rFonts w:eastAsiaTheme="majorEastAsia"/>
                <w:bCs w:val="0"/>
                <w:sz w:val="28"/>
                <w:szCs w:val="28"/>
              </w:rPr>
              <w:t>Минич Оксана Анатольевна</w:t>
            </w:r>
          </w:p>
          <w:p w:rsidR="002E1E1E" w:rsidRDefault="001800D4">
            <w:pPr>
              <w:jc w:val="both"/>
              <w:rPr>
                <w:rStyle w:val="a5"/>
                <w:rFonts w:eastAsiaTheme="majorEastAsia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начальник центра развития информационных технологий БГПУ, кандидат педагогических наук, доцент.</w:t>
            </w:r>
          </w:p>
          <w:p w:rsidR="002E1E1E" w:rsidRDefault="001800D4">
            <w:pPr>
              <w:tabs>
                <w:tab w:val="left" w:pos="4174"/>
              </w:tabs>
              <w:jc w:val="both"/>
              <w:rPr>
                <w:b w:val="0"/>
                <w:i/>
                <w:iCs/>
                <w:sz w:val="28"/>
                <w:szCs w:val="28"/>
              </w:rPr>
            </w:pPr>
            <w:r>
              <w:rPr>
                <w:b w:val="0"/>
                <w:i/>
                <w:iCs/>
                <w:sz w:val="28"/>
                <w:szCs w:val="28"/>
              </w:rPr>
              <w:t xml:space="preserve">БГПУ им. М. Танка, г. Минск, </w:t>
            </w:r>
            <w:r>
              <w:rPr>
                <w:b w:val="0"/>
                <w:i/>
                <w:iCs/>
                <w:sz w:val="28"/>
                <w:szCs w:val="28"/>
              </w:rPr>
              <w:t>Республика Беларусь.</w:t>
            </w:r>
          </w:p>
          <w:p w:rsidR="002E1E1E" w:rsidRDefault="002E1E1E">
            <w:pPr>
              <w:tabs>
                <w:tab w:val="left" w:pos="4174"/>
              </w:tabs>
              <w:jc w:val="both"/>
              <w:rPr>
                <w:b w:val="0"/>
                <w:iCs/>
                <w:sz w:val="28"/>
                <w:szCs w:val="28"/>
              </w:rPr>
            </w:pPr>
          </w:p>
          <w:p w:rsidR="002E1E1E" w:rsidRDefault="002E1E1E">
            <w:pPr>
              <w:tabs>
                <w:tab w:val="left" w:pos="4174"/>
              </w:tabs>
              <w:jc w:val="both"/>
              <w:rPr>
                <w:b w:val="0"/>
                <w:iCs/>
                <w:sz w:val="28"/>
                <w:szCs w:val="28"/>
              </w:rPr>
            </w:pPr>
          </w:p>
        </w:tc>
      </w:tr>
      <w:tr w:rsidR="002E1E1E" w:rsidTr="002E1E1E">
        <w:tc>
          <w:tcPr>
            <w:cnfStyle w:val="001000000000"/>
            <w:tcW w:w="1019" w:type="pct"/>
          </w:tcPr>
          <w:p w:rsidR="002E1E1E" w:rsidRDefault="001800D4">
            <w:pPr>
              <w:jc w:val="center"/>
              <w:rPr>
                <w:b w:val="0"/>
                <w:bCs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t>14.</w:t>
            </w:r>
            <w:r>
              <w:rPr>
                <w:b w:val="0"/>
                <w:bCs w:val="0"/>
                <w:iCs/>
                <w:sz w:val="28"/>
                <w:szCs w:val="28"/>
              </w:rPr>
              <w:t>15</w:t>
            </w:r>
            <w:r>
              <w:rPr>
                <w:b w:val="0"/>
                <w:iCs/>
                <w:sz w:val="28"/>
                <w:szCs w:val="28"/>
              </w:rPr>
              <w:t xml:space="preserve"> – 1</w:t>
            </w:r>
            <w:r>
              <w:rPr>
                <w:b w:val="0"/>
                <w:bCs w:val="0"/>
                <w:iCs/>
                <w:sz w:val="28"/>
                <w:szCs w:val="28"/>
              </w:rPr>
              <w:t>4</w:t>
            </w:r>
            <w:r>
              <w:rPr>
                <w:b w:val="0"/>
                <w:iCs/>
                <w:sz w:val="28"/>
                <w:szCs w:val="28"/>
              </w:rPr>
              <w:t>.</w:t>
            </w:r>
            <w:r>
              <w:rPr>
                <w:b w:val="0"/>
                <w:bCs w:val="0"/>
                <w:iCs/>
                <w:sz w:val="28"/>
                <w:szCs w:val="28"/>
              </w:rPr>
              <w:t>3</w:t>
            </w:r>
            <w:r>
              <w:rPr>
                <w:b w:val="0"/>
                <w:iCs/>
                <w:sz w:val="28"/>
                <w:szCs w:val="28"/>
              </w:rPr>
              <w:t>0</w:t>
            </w:r>
          </w:p>
        </w:tc>
        <w:tc>
          <w:tcPr>
            <w:cnfStyle w:val="000100000000"/>
            <w:tcW w:w="3981" w:type="pct"/>
          </w:tcPr>
          <w:p w:rsidR="002E1E1E" w:rsidRDefault="001800D4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Образовательные возможности ЭУМК по дисциплине специального цикла «Оборудование швейного производства»</w:t>
            </w:r>
          </w:p>
          <w:p w:rsidR="002E1E1E" w:rsidRDefault="002E1E1E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2E1E1E" w:rsidRDefault="001800D4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Макеренкова</w:t>
            </w:r>
            <w:proofErr w:type="spellEnd"/>
            <w:r>
              <w:rPr>
                <w:i/>
                <w:sz w:val="28"/>
                <w:szCs w:val="28"/>
              </w:rPr>
              <w:t xml:space="preserve"> Инесса Анатольевна</w:t>
            </w:r>
          </w:p>
          <w:p w:rsidR="002E1E1E" w:rsidRDefault="001800D4">
            <w:pPr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старший преподаватель кафедры технологического образования</w:t>
            </w:r>
            <w:r>
              <w:rPr>
                <w:rStyle w:val="a5"/>
                <w:rFonts w:eastAsiaTheme="majorEastAsia"/>
                <w:b w:val="0"/>
                <w:bCs w:val="0"/>
                <w:iCs w:val="0"/>
                <w:sz w:val="28"/>
                <w:szCs w:val="28"/>
              </w:rPr>
              <w:t>.</w:t>
            </w:r>
          </w:p>
          <w:p w:rsidR="002E1E1E" w:rsidRDefault="001800D4">
            <w:pPr>
              <w:jc w:val="both"/>
              <w:rPr>
                <w:rStyle w:val="a5"/>
                <w:rFonts w:eastAsiaTheme="majorEastAsia"/>
                <w:b w:val="0"/>
                <w:bCs w:val="0"/>
                <w:iCs w:val="0"/>
                <w:sz w:val="28"/>
                <w:szCs w:val="28"/>
              </w:rPr>
            </w:pPr>
            <w:r>
              <w:rPr>
                <w:rStyle w:val="a5"/>
                <w:rFonts w:eastAsiaTheme="majorEastAsia"/>
                <w:b w:val="0"/>
                <w:bCs w:val="0"/>
                <w:iCs w:val="0"/>
                <w:sz w:val="28"/>
                <w:szCs w:val="28"/>
              </w:rPr>
              <w:t xml:space="preserve">МПГУ им. И. П. </w:t>
            </w:r>
            <w:proofErr w:type="spellStart"/>
            <w:r>
              <w:rPr>
                <w:rStyle w:val="a5"/>
                <w:rFonts w:eastAsiaTheme="majorEastAsia"/>
                <w:b w:val="0"/>
                <w:bCs w:val="0"/>
                <w:iCs w:val="0"/>
                <w:sz w:val="28"/>
                <w:szCs w:val="28"/>
              </w:rPr>
              <w:t>Шамякина</w:t>
            </w:r>
            <w:proofErr w:type="spellEnd"/>
            <w:r>
              <w:rPr>
                <w:rStyle w:val="a5"/>
                <w:rFonts w:eastAsiaTheme="majorEastAsia"/>
                <w:b w:val="0"/>
                <w:bCs w:val="0"/>
                <w:iCs w:val="0"/>
                <w:sz w:val="28"/>
                <w:szCs w:val="28"/>
              </w:rPr>
              <w:t>, г. Мозырь, Республика Беларусь.</w:t>
            </w:r>
          </w:p>
          <w:p w:rsidR="002E1E1E" w:rsidRDefault="002E1E1E">
            <w:pPr>
              <w:tabs>
                <w:tab w:val="left" w:pos="4174"/>
              </w:tabs>
              <w:jc w:val="both"/>
              <w:rPr>
                <w:b w:val="0"/>
                <w:bCs w:val="0"/>
                <w:iCs/>
                <w:sz w:val="28"/>
                <w:szCs w:val="28"/>
              </w:rPr>
            </w:pPr>
          </w:p>
        </w:tc>
      </w:tr>
      <w:tr w:rsidR="002E1E1E" w:rsidTr="002E1E1E">
        <w:trPr>
          <w:cnfStyle w:val="000000100000"/>
        </w:trPr>
        <w:tc>
          <w:tcPr>
            <w:cnfStyle w:val="001000000000"/>
            <w:tcW w:w="1019" w:type="pct"/>
          </w:tcPr>
          <w:p w:rsidR="002E1E1E" w:rsidRDefault="001800D4">
            <w:pPr>
              <w:jc w:val="center"/>
              <w:rPr>
                <w:b w:val="0"/>
                <w:bCs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t>1</w:t>
            </w:r>
            <w:r>
              <w:rPr>
                <w:b w:val="0"/>
                <w:bCs w:val="0"/>
                <w:iCs/>
                <w:sz w:val="28"/>
                <w:szCs w:val="28"/>
              </w:rPr>
              <w:t>4</w:t>
            </w:r>
            <w:r>
              <w:rPr>
                <w:b w:val="0"/>
                <w:iCs/>
                <w:sz w:val="28"/>
                <w:szCs w:val="28"/>
              </w:rPr>
              <w:t>.</w:t>
            </w:r>
            <w:r>
              <w:rPr>
                <w:b w:val="0"/>
                <w:bCs w:val="0"/>
                <w:iCs/>
                <w:sz w:val="28"/>
                <w:szCs w:val="28"/>
              </w:rPr>
              <w:t>3</w:t>
            </w:r>
            <w:r>
              <w:rPr>
                <w:b w:val="0"/>
                <w:iCs/>
                <w:sz w:val="28"/>
                <w:szCs w:val="28"/>
              </w:rPr>
              <w:t>0 – 1</w:t>
            </w:r>
            <w:r>
              <w:rPr>
                <w:b w:val="0"/>
                <w:bCs w:val="0"/>
                <w:iCs/>
                <w:sz w:val="28"/>
                <w:szCs w:val="28"/>
              </w:rPr>
              <w:t>4</w:t>
            </w:r>
            <w:r>
              <w:rPr>
                <w:b w:val="0"/>
                <w:iCs/>
                <w:sz w:val="28"/>
                <w:szCs w:val="28"/>
              </w:rPr>
              <w:t>.</w:t>
            </w:r>
            <w:r>
              <w:rPr>
                <w:b w:val="0"/>
                <w:bCs w:val="0"/>
                <w:iCs/>
                <w:sz w:val="28"/>
                <w:szCs w:val="28"/>
              </w:rPr>
              <w:t>45</w:t>
            </w:r>
          </w:p>
        </w:tc>
        <w:tc>
          <w:tcPr>
            <w:cnfStyle w:val="000100000000"/>
            <w:tcW w:w="3981" w:type="pct"/>
          </w:tcPr>
          <w:p w:rsidR="002E1E1E" w:rsidRDefault="001800D4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 ходе реализации совместного проекта «Мобильный STEM-класс»</w:t>
            </w:r>
          </w:p>
          <w:p w:rsidR="002E1E1E" w:rsidRDefault="002E1E1E">
            <w:pPr>
              <w:jc w:val="both"/>
              <w:rPr>
                <w:rFonts w:eastAsia="Times New Roman"/>
                <w:sz w:val="28"/>
                <w:szCs w:val="28"/>
              </w:rPr>
            </w:pPr>
          </w:p>
          <w:p w:rsidR="002E1E1E" w:rsidRDefault="001800D4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Яроцкий</w:t>
            </w:r>
            <w:proofErr w:type="spellEnd"/>
            <w:r>
              <w:rPr>
                <w:i/>
                <w:sz w:val="28"/>
                <w:szCs w:val="28"/>
              </w:rPr>
              <w:t xml:space="preserve"> Андрей Александрович</w:t>
            </w:r>
          </w:p>
          <w:p w:rsidR="002E1E1E" w:rsidRDefault="001800D4">
            <w:pPr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начальник центра информатизации и дистанционного образования МОИРО.</w:t>
            </w:r>
          </w:p>
          <w:p w:rsidR="002E1E1E" w:rsidRDefault="001800D4">
            <w:pPr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>МОИРО г. Минск, Республика Беларусь.</w:t>
            </w:r>
          </w:p>
          <w:p w:rsidR="002E1E1E" w:rsidRDefault="001800D4">
            <w:pPr>
              <w:rPr>
                <w:rFonts w:eastAsia="Times New Roman"/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8"/>
                <w:szCs w:val="28"/>
              </w:rPr>
              <w:t>Малаховский</w:t>
            </w:r>
            <w:proofErr w:type="spellEnd"/>
            <w:r>
              <w:rPr>
                <w:i/>
                <w:sz w:val="28"/>
                <w:szCs w:val="28"/>
              </w:rPr>
              <w:t xml:space="preserve"> Дмитрий Александрович</w:t>
            </w:r>
          </w:p>
          <w:p w:rsidR="002E1E1E" w:rsidRDefault="001800D4">
            <w:pPr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i/>
                <w:sz w:val="28"/>
                <w:szCs w:val="28"/>
              </w:rPr>
              <w:t xml:space="preserve">преподаватель-стажер физико-математического </w:t>
            </w:r>
            <w:r>
              <w:rPr>
                <w:b w:val="0"/>
                <w:i/>
                <w:sz w:val="28"/>
                <w:szCs w:val="28"/>
              </w:rPr>
              <w:lastRenderedPageBreak/>
              <w:t>факультета БГПУ.</w:t>
            </w:r>
          </w:p>
          <w:p w:rsidR="002E1E1E" w:rsidRDefault="001800D4">
            <w:pPr>
              <w:tabs>
                <w:tab w:val="left" w:pos="4174"/>
              </w:tabs>
              <w:jc w:val="both"/>
              <w:rPr>
                <w:b w:val="0"/>
                <w:i/>
                <w:iCs/>
                <w:sz w:val="28"/>
                <w:szCs w:val="28"/>
              </w:rPr>
            </w:pPr>
            <w:r>
              <w:rPr>
                <w:b w:val="0"/>
                <w:i/>
                <w:iCs/>
                <w:sz w:val="28"/>
                <w:szCs w:val="28"/>
              </w:rPr>
              <w:t>БГПУ им. М. Танка, г. Минск, Республика Беларусь.</w:t>
            </w:r>
          </w:p>
          <w:p w:rsidR="002E1E1E" w:rsidRDefault="002E1E1E">
            <w:pPr>
              <w:rPr>
                <w:b w:val="0"/>
                <w:i/>
                <w:sz w:val="28"/>
                <w:szCs w:val="28"/>
              </w:rPr>
            </w:pPr>
          </w:p>
          <w:p w:rsidR="002E1E1E" w:rsidRDefault="002E1E1E">
            <w:pPr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2E1E1E" w:rsidTr="002E1E1E">
        <w:tc>
          <w:tcPr>
            <w:cnfStyle w:val="001000000000"/>
            <w:tcW w:w="1019" w:type="pct"/>
          </w:tcPr>
          <w:p w:rsidR="002E1E1E" w:rsidRDefault="001800D4">
            <w:pPr>
              <w:jc w:val="center"/>
              <w:rPr>
                <w:b w:val="0"/>
                <w:bCs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lastRenderedPageBreak/>
              <w:t>1</w:t>
            </w:r>
            <w:r>
              <w:rPr>
                <w:b w:val="0"/>
                <w:bCs w:val="0"/>
                <w:iCs/>
                <w:sz w:val="28"/>
                <w:szCs w:val="28"/>
              </w:rPr>
              <w:t>4</w:t>
            </w:r>
            <w:r>
              <w:rPr>
                <w:b w:val="0"/>
                <w:iCs/>
                <w:sz w:val="28"/>
                <w:szCs w:val="28"/>
              </w:rPr>
              <w:t>.</w:t>
            </w:r>
            <w:r>
              <w:rPr>
                <w:b w:val="0"/>
                <w:bCs w:val="0"/>
                <w:iCs/>
                <w:sz w:val="28"/>
                <w:szCs w:val="28"/>
              </w:rPr>
              <w:t>45</w:t>
            </w:r>
            <w:r>
              <w:rPr>
                <w:b w:val="0"/>
                <w:iCs/>
                <w:sz w:val="28"/>
                <w:szCs w:val="28"/>
              </w:rPr>
              <w:t xml:space="preserve"> – 15.</w:t>
            </w:r>
            <w:r>
              <w:rPr>
                <w:b w:val="0"/>
                <w:bCs w:val="0"/>
                <w:iCs/>
                <w:sz w:val="28"/>
                <w:szCs w:val="28"/>
              </w:rPr>
              <w:t>0</w:t>
            </w:r>
            <w:r>
              <w:rPr>
                <w:b w:val="0"/>
                <w:iCs/>
                <w:sz w:val="28"/>
                <w:szCs w:val="28"/>
              </w:rPr>
              <w:t>0</w:t>
            </w:r>
          </w:p>
        </w:tc>
        <w:tc>
          <w:tcPr>
            <w:cnfStyle w:val="000100000000"/>
            <w:tcW w:w="3981" w:type="pct"/>
          </w:tcPr>
          <w:p w:rsidR="002E1E1E" w:rsidRDefault="001800D4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Организационно-методическое сопровождение процесса создания единой региональной информационно- образовательной среды </w:t>
            </w:r>
          </w:p>
          <w:p w:rsidR="002E1E1E" w:rsidRDefault="002E1E1E">
            <w:pPr>
              <w:jc w:val="both"/>
              <w:rPr>
                <w:sz w:val="28"/>
                <w:szCs w:val="28"/>
              </w:rPr>
            </w:pPr>
          </w:p>
          <w:p w:rsidR="002E1E1E" w:rsidRDefault="001800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Быковский Сергей Валентинович</w:t>
            </w:r>
          </w:p>
          <w:p w:rsidR="002E1E1E" w:rsidRDefault="001800D4">
            <w:pPr>
              <w:jc w:val="both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методист учебно-методического отдела информационных технологий и издательской деятельности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2E1E1E" w:rsidTr="002E1E1E">
        <w:trPr>
          <w:cnfStyle w:val="000000100000"/>
        </w:trPr>
        <w:tc>
          <w:tcPr>
            <w:cnfStyle w:val="001000000000"/>
            <w:tcW w:w="1019" w:type="pct"/>
            <w:shd w:val="clear" w:color="auto" w:fill="FFFFFF" w:themeFill="background1"/>
          </w:tcPr>
          <w:p w:rsidR="002E1E1E" w:rsidRDefault="002E1E1E">
            <w:pPr>
              <w:pStyle w:val="a3"/>
              <w:ind w:left="0"/>
              <w:jc w:val="center"/>
              <w:rPr>
                <w:b w:val="0"/>
                <w:iCs/>
                <w:sz w:val="28"/>
                <w:szCs w:val="28"/>
              </w:rPr>
            </w:pPr>
          </w:p>
        </w:tc>
        <w:tc>
          <w:tcPr>
            <w:cnfStyle w:val="000100000000"/>
            <w:tcW w:w="3981" w:type="pct"/>
            <w:shd w:val="clear" w:color="auto" w:fill="FFFFFF" w:themeFill="background1"/>
          </w:tcPr>
          <w:p w:rsidR="002E1E1E" w:rsidRDefault="001800D4">
            <w:pPr>
              <w:jc w:val="both"/>
              <w:rPr>
                <w:rStyle w:val="a5"/>
                <w:rFonts w:eastAsiaTheme="majorEastAsia"/>
                <w:b w:val="0"/>
                <w:bCs w:val="0"/>
                <w:iCs w:val="0"/>
                <w:sz w:val="28"/>
                <w:szCs w:val="28"/>
              </w:rPr>
            </w:pPr>
            <w:r>
              <w:rPr>
                <w:b w:val="0"/>
                <w:i/>
                <w:iCs/>
                <w:sz w:val="28"/>
                <w:szCs w:val="28"/>
              </w:rPr>
              <w:t>ГОИРО, г. Гом</w:t>
            </w:r>
            <w:r>
              <w:rPr>
                <w:b w:val="0"/>
                <w:i/>
                <w:iCs/>
                <w:sz w:val="28"/>
                <w:szCs w:val="28"/>
              </w:rPr>
              <w:t>ель, Республика Беларусь</w:t>
            </w:r>
            <w:r>
              <w:rPr>
                <w:rStyle w:val="a5"/>
                <w:rFonts w:eastAsiaTheme="majorEastAsia"/>
                <w:b w:val="0"/>
                <w:bCs w:val="0"/>
                <w:iCs w:val="0"/>
                <w:sz w:val="28"/>
                <w:szCs w:val="28"/>
              </w:rPr>
              <w:t>.</w:t>
            </w:r>
          </w:p>
          <w:p w:rsidR="002E1E1E" w:rsidRDefault="002E1E1E">
            <w:pPr>
              <w:jc w:val="both"/>
              <w:rPr>
                <w:b w:val="0"/>
                <w:bCs w:val="0"/>
                <w:iCs/>
                <w:sz w:val="28"/>
                <w:szCs w:val="28"/>
              </w:rPr>
            </w:pPr>
          </w:p>
        </w:tc>
      </w:tr>
      <w:tr w:rsidR="002E1E1E" w:rsidTr="002E1E1E">
        <w:trPr>
          <w:cnfStyle w:val="010000000000"/>
          <w:trHeight w:val="1286"/>
        </w:trPr>
        <w:tc>
          <w:tcPr>
            <w:cnfStyle w:val="001000000000"/>
            <w:tcW w:w="1019" w:type="pct"/>
            <w:shd w:val="clear" w:color="auto" w:fill="F2F2F2" w:themeFill="background1" w:themeFillShade="F2"/>
          </w:tcPr>
          <w:p w:rsidR="002E1E1E" w:rsidRDefault="001800D4">
            <w:pPr>
              <w:pStyle w:val="a3"/>
              <w:ind w:left="0"/>
              <w:jc w:val="center"/>
              <w:rPr>
                <w:b w:val="0"/>
                <w:bCs w:val="0"/>
                <w:iCs/>
                <w:sz w:val="28"/>
                <w:szCs w:val="28"/>
              </w:rPr>
            </w:pPr>
            <w:r>
              <w:rPr>
                <w:b w:val="0"/>
                <w:iCs/>
                <w:sz w:val="28"/>
                <w:szCs w:val="28"/>
              </w:rPr>
              <w:t>15.00 – 15.</w:t>
            </w:r>
            <w:r>
              <w:rPr>
                <w:b w:val="0"/>
                <w:bCs w:val="0"/>
                <w:iCs/>
                <w:sz w:val="28"/>
                <w:szCs w:val="28"/>
              </w:rPr>
              <w:t>10</w:t>
            </w:r>
          </w:p>
          <w:p w:rsidR="002E1E1E" w:rsidRDefault="002E1E1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cnfStyle w:val="000100000000"/>
            <w:tcW w:w="3981" w:type="pct"/>
            <w:shd w:val="clear" w:color="auto" w:fill="F2F2F2" w:themeFill="background1" w:themeFillShade="F2"/>
          </w:tcPr>
          <w:p w:rsidR="002E1E1E" w:rsidRDefault="001800D4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Подведение итогов </w:t>
            </w:r>
          </w:p>
          <w:p w:rsidR="002E1E1E" w:rsidRDefault="002E1E1E">
            <w:pPr>
              <w:tabs>
                <w:tab w:val="left" w:pos="4174"/>
              </w:tabs>
              <w:ind w:firstLine="459"/>
              <w:jc w:val="both"/>
              <w:rPr>
                <w:b w:val="0"/>
                <w:iCs/>
                <w:sz w:val="28"/>
                <w:szCs w:val="28"/>
              </w:rPr>
            </w:pPr>
          </w:p>
          <w:p w:rsidR="002E1E1E" w:rsidRDefault="001800D4">
            <w:pPr>
              <w:jc w:val="both"/>
              <w:rPr>
                <w:rStyle w:val="a5"/>
                <w:rFonts w:eastAsiaTheme="majorEastAsia"/>
                <w:bCs w:val="0"/>
                <w:i w:val="0"/>
                <w:sz w:val="28"/>
                <w:szCs w:val="28"/>
              </w:rPr>
            </w:pPr>
            <w:r>
              <w:rPr>
                <w:rStyle w:val="a5"/>
                <w:rFonts w:eastAsiaTheme="majorEastAsia"/>
                <w:bCs w:val="0"/>
                <w:sz w:val="28"/>
                <w:szCs w:val="28"/>
              </w:rPr>
              <w:t>Минич Оксана Анатольевна</w:t>
            </w:r>
          </w:p>
          <w:p w:rsidR="002E1E1E" w:rsidRDefault="001800D4">
            <w:pPr>
              <w:jc w:val="both"/>
              <w:rPr>
                <w:rStyle w:val="a5"/>
                <w:rFonts w:eastAsiaTheme="majorEastAsia"/>
                <w:b w:val="0"/>
                <w:bCs w:val="0"/>
                <w:i w:val="0"/>
                <w:sz w:val="28"/>
                <w:szCs w:val="28"/>
              </w:rPr>
            </w:pPr>
            <w:r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начальник центра развития информационных технологий БГПУ, кандидат педагогических наук, доцент.</w:t>
            </w:r>
          </w:p>
          <w:p w:rsidR="002E1E1E" w:rsidRDefault="001800D4">
            <w:pPr>
              <w:tabs>
                <w:tab w:val="left" w:pos="4174"/>
              </w:tabs>
              <w:jc w:val="both"/>
              <w:rPr>
                <w:b w:val="0"/>
                <w:i/>
                <w:iCs/>
                <w:sz w:val="28"/>
                <w:szCs w:val="28"/>
              </w:rPr>
            </w:pPr>
            <w:r>
              <w:rPr>
                <w:b w:val="0"/>
                <w:i/>
                <w:iCs/>
                <w:sz w:val="28"/>
                <w:szCs w:val="28"/>
              </w:rPr>
              <w:t>БГПУ им. М. Танка, г. Минск, Республика Беларусь.</w:t>
            </w:r>
          </w:p>
          <w:p w:rsidR="002E1E1E" w:rsidRDefault="002E1E1E">
            <w:pPr>
              <w:tabs>
                <w:tab w:val="left" w:pos="4174"/>
              </w:tabs>
              <w:jc w:val="both"/>
              <w:rPr>
                <w:b w:val="0"/>
                <w:iCs/>
                <w:sz w:val="28"/>
                <w:szCs w:val="28"/>
              </w:rPr>
            </w:pPr>
          </w:p>
          <w:p w:rsidR="002E1E1E" w:rsidRDefault="002E1E1E">
            <w:pPr>
              <w:tabs>
                <w:tab w:val="left" w:pos="4174"/>
              </w:tabs>
              <w:jc w:val="both"/>
              <w:rPr>
                <w:b w:val="0"/>
                <w:iCs/>
                <w:sz w:val="28"/>
                <w:szCs w:val="28"/>
              </w:rPr>
            </w:pPr>
          </w:p>
        </w:tc>
      </w:tr>
    </w:tbl>
    <w:p w:rsidR="002E1E1E" w:rsidRDefault="002E1E1E">
      <w:pPr>
        <w:jc w:val="both"/>
        <w:rPr>
          <w:sz w:val="28"/>
          <w:szCs w:val="28"/>
          <w:lang w:val="ru-RU"/>
        </w:rPr>
      </w:pPr>
    </w:p>
    <w:sectPr w:rsidR="002E1E1E" w:rsidSect="002E1E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3BD1"/>
    <w:multiLevelType w:val="hybridMultilevel"/>
    <w:tmpl w:val="DA769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16FCF"/>
    <w:multiLevelType w:val="hybridMultilevel"/>
    <w:tmpl w:val="2CE81FD2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>
    <w:nsid w:val="53896F09"/>
    <w:multiLevelType w:val="hybridMultilevel"/>
    <w:tmpl w:val="DB26E7E0"/>
    <w:lvl w:ilvl="0" w:tplc="1F289FF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E1E"/>
    <w:rsid w:val="001800D4"/>
    <w:rsid w:val="002E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2E1E1E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E1E1E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2E1E1E"/>
    <w:rPr>
      <w:rFonts w:ascii="Times New Roman" w:eastAsiaTheme="minorEastAsia" w:hAnsi="Times New Roman" w:cs="Times New Roman"/>
      <w:sz w:val="20"/>
      <w:szCs w:val="20"/>
    </w:rPr>
  </w:style>
  <w:style w:type="character" w:styleId="a5">
    <w:name w:val="Emphasis"/>
    <w:basedOn w:val="a0"/>
    <w:uiPriority w:val="20"/>
    <w:qFormat/>
    <w:rsid w:val="002E1E1E"/>
    <w:rPr>
      <w:i/>
      <w:iCs/>
    </w:rPr>
  </w:style>
  <w:style w:type="character" w:styleId="a6">
    <w:name w:val="Hyperlink"/>
    <w:basedOn w:val="a0"/>
    <w:uiPriority w:val="99"/>
    <w:unhideWhenUsed/>
    <w:rsid w:val="002E1E1E"/>
    <w:rPr>
      <w:color w:val="0563C1" w:themeColor="hyperlink"/>
      <w:u w:val="single"/>
    </w:rPr>
  </w:style>
  <w:style w:type="character" w:customStyle="1" w:styleId="st">
    <w:name w:val="st"/>
    <w:basedOn w:val="a0"/>
    <w:rsid w:val="002E1E1E"/>
  </w:style>
  <w:style w:type="table" w:customStyle="1" w:styleId="PlainTable4">
    <w:name w:val="Plain Table 4"/>
    <w:basedOn w:val="a1"/>
    <w:uiPriority w:val="44"/>
    <w:rsid w:val="002E1E1E"/>
    <w:pPr>
      <w:spacing w:after="0" w:line="240" w:lineRule="auto"/>
    </w:pPr>
    <w:rPr>
      <w:lang w:val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Заголовок 1 Знак"/>
    <w:basedOn w:val="a0"/>
    <w:link w:val="1"/>
    <w:uiPriority w:val="9"/>
    <w:rsid w:val="002E1E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FollowedHyperlink"/>
    <w:basedOn w:val="a0"/>
    <w:uiPriority w:val="99"/>
    <w:semiHidden/>
    <w:unhideWhenUsed/>
    <w:rsid w:val="002E1E1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bb.bspu.by/b/g47-jan-yz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Galina_administrator</cp:lastModifiedBy>
  <cp:revision>2</cp:revision>
  <dcterms:created xsi:type="dcterms:W3CDTF">2020-11-29T14:58:00Z</dcterms:created>
  <dcterms:modified xsi:type="dcterms:W3CDTF">2020-11-29T14:58:00Z</dcterms:modified>
</cp:coreProperties>
</file>